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Rule="auto"/>
        <w:jc w:val="both"/>
        <w:rPr/>
      </w:pPr>
      <w:bookmarkStart w:colFirst="0" w:colLast="0" w:name="_yac0r85vhq1i" w:id="0"/>
      <w:bookmarkEnd w:id="0"/>
      <w:r w:rsidDel="00000000" w:rsidR="00000000" w:rsidRPr="00000000">
        <w:rPr>
          <w:rtl w:val="0"/>
        </w:rPr>
        <w:t xml:space="preserve">Se diversifica el mercado de envíos de comercio electrónico en España</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Según el último CNMC, Panel de Hogares de la Comisión Nacional de los Mercados y la Competencia, los envíos de comercio electrónico han ganado 4,5 puntos porcentuales de cuota entre los años 2018 y 2020.</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Todo radica en que tanto el precio como la empresa distribuidora pierden relevancia frente a los lugares y plazos de entrega, cuando se trata de elegir un operador de envíos por parte de los particulares.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En medio de este escenario, los cuatro grandes operadores de paquetería en España (DHL, Correos, MRW, Seur y MRW), han perdido terreno en los envíos de e-commerce frente al resto de las compañías.</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Seur, una de las principales compañías operadoras, fue la que más cuota perdió en el mercado. Su cuota de entrega de comercio electrónico B2C en 2018 era del 15,7%, cifra que se redujo al 10,2% en el segundo semestre de 2020.</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Correos por su parte, la empresa más importante como operador de paquetería, publicó recientemente que ha visto reducida su cuota en cinco puntos, pasando del 50% en el segundo semestre de 2019 al 45% en el mismo periodo de 2020.</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Para MRW y DHL, se han registrado leves contracciones respecto a 2018, sobre todo para el operador alemán. Sin embargo, las dos compañías han incrementado ligeramente su participación en comparación con el segundo semestre de 2019.</w:t>
      </w:r>
    </w:p>
    <w:p w:rsidR="00000000" w:rsidDel="00000000" w:rsidP="00000000" w:rsidRDefault="00000000" w:rsidRPr="00000000" w14:paraId="00000008">
      <w:pPr>
        <w:pStyle w:val="Heading1"/>
        <w:spacing w:after="240" w:before="240" w:lineRule="auto"/>
        <w:jc w:val="both"/>
        <w:rPr/>
      </w:pPr>
      <w:bookmarkStart w:colFirst="0" w:colLast="0" w:name="_2khz6h896hjw" w:id="1"/>
      <w:bookmarkEnd w:id="1"/>
      <w:r w:rsidDel="00000000" w:rsidR="00000000" w:rsidRPr="00000000">
        <w:rPr>
          <w:rtl w:val="0"/>
        </w:rPr>
        <w:t xml:space="preserve">Comportamiento de los internautas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El Panel de Hogares también indicó que entre junio y diciembre de 2020, el 49,5% de los internautas realizó alguna compra online y que más del 95% de ellos han recibido algún paquete producto de las compras por Internet.</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La CNMC destacó que, gracias al auge del comercio electrónico, la paquetería sigue creciendo hasta convertirse en columna del sector postal. Todo debido a que en promedio un 75% de españoles ya no recibe cartas y el 39% no recibe cartas de empresas.</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También destacó que los datos del Panel reflejan el comportamiento del mercado en medio de la pandemia. Esta situación explica muy bien que, al momento de hacer una compra online, el 93% de clientes prefirieron recibir el paquete en su domicilio particular en comparación con otras opciones.</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Con respecto a los envíos por parte de particulares, el análisis indica que solo el 11,6% ha enviado algún paquete en los últimos seis meses.</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Las devoluciones de compras online también se registran con un 19.1% en el segundo semestre de 2020.</w:t>
      </w:r>
    </w:p>
    <w:p w:rsidR="00000000" w:rsidDel="00000000" w:rsidP="00000000" w:rsidRDefault="00000000" w:rsidRPr="00000000" w14:paraId="0000000E">
      <w:pPr>
        <w:pStyle w:val="Heading1"/>
        <w:spacing w:after="240" w:before="240" w:lineRule="auto"/>
        <w:jc w:val="both"/>
        <w:rPr/>
      </w:pPr>
      <w:bookmarkStart w:colFirst="0" w:colLast="0" w:name="_9lmv7koyxiii" w:id="2"/>
      <w:bookmarkEnd w:id="2"/>
      <w:r w:rsidDel="00000000" w:rsidR="00000000" w:rsidRPr="00000000">
        <w:rPr>
          <w:rtl w:val="0"/>
        </w:rPr>
        <w:t xml:space="preserve">Los envíos en España</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Según la CNMC, la gran mayoría de los nacionales españoles que enviaron paquetes lo hicieron a través de Correos como operador, compañía que ha registrado un descenso de 6,6 puntos porcentuales en comparación al segundo semestre de 2020.</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También constató que el envío de cartas tradicionales ha perdido relevancia en la actividad postal española. De hecho, entre junio y diciembre de 2020 apenas dos de cada 10 españoles, enviaron alguna carta.</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En el área de los trámites administrativos y a pesar de la digitalización de los mismos, apenas el 14% de los españoles ha recibido alguna o varias notificaciones electrónicas por parte de la administración pública. </w:t>
      </w:r>
    </w:p>
    <w:p w:rsidR="00000000" w:rsidDel="00000000" w:rsidP="00000000" w:rsidRDefault="00000000" w:rsidRPr="00000000" w14:paraId="000000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